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обращение-гражданина-по-факту-коррупции"/>
    <w:p>
      <w:pPr>
        <w:pStyle w:val="Heading3"/>
      </w:pPr>
      <w:r>
        <w:t xml:space="preserve">Обращение гражданина по факту коррупции</w:t>
      </w:r>
    </w:p>
    <w:p>
      <w:pPr>
        <w:pStyle w:val="FirstParagraph"/>
      </w:pPr>
      <w:r>
        <w:t xml:space="preserve">17.01.2022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http://matushkino.mos.ru/anti-corruption/forms-of-documents-related-to-anti-corruption-for-filling/detail/10563649.html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anti-corruption/forms-of-documents-related-to-anti-corruption-for-filling/detail/1056364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anti-corruption/forms-of-documents-related-to-anti-corruption-for-filling/detail/1056364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2023-05-26T12:55:30Z</dcterms:created>
  <dcterms:modified xsi:type="dcterms:W3CDTF">2023-05-26T12:55:30Z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