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ротиводействие-коррупции-в-спорте"/>
    <w:p>
      <w:pPr>
        <w:pStyle w:val="Heading3"/>
      </w:pPr>
      <w:r>
        <w:t xml:space="preserve">Противодействие коррупции в спорте</w:t>
      </w:r>
    </w:p>
    <w:p>
      <w:pPr>
        <w:pStyle w:val="FirstParagraph"/>
      </w:pPr>
      <w:r>
        <w:t xml:space="preserve">15.01.2019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http://matushkino.mos.ru/anti-corruption/methodical-materials/detail/7820967.html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anti-corruption/methodical-materials/detail/782096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anti-corruption/methodical-materials/detail/782096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2024-08-14T01:58:17Z</dcterms:created>
  <dcterms:modified xsi:type="dcterms:W3CDTF">2024-08-14T01:58:17Z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