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82067a46c53f7d8bb62575094074739b62bec"/>
    <w:p>
      <w:pPr>
        <w:pStyle w:val="Heading3"/>
      </w:pPr>
      <w:r>
        <w:t xml:space="preserve">План противодействия коррупции на 2018-2020 годы</w:t>
      </w:r>
    </w:p>
    <w:p>
      <w:pPr>
        <w:pStyle w:val="FirstParagraph"/>
      </w:pPr>
      <w:r>
        <w:t xml:space="preserve">27.12.2019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http://matushkino.mos.ru/anti-corruption/plans-papers-reports-reviews-static-information-on-combating-corruption/detail/8597141.html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plans-papers-reports-reviews-static-information-on-combating-corruption/detail/85971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anti-corruption/plans-papers-reports-reviews-static-information-on-combating-corruption/detail/85971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2024-12-02T14:29:10Z</dcterms:created>
  <dcterms:modified xsi:type="dcterms:W3CDTF">2024-12-02T14:29:10Z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