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6d7af85ba53095715c87c4daefcfb65c860b9"/>
    <w:p>
      <w:pPr>
        <w:pStyle w:val="Heading3"/>
      </w:pPr>
      <w:r>
        <w:t xml:space="preserve">ПРИКАЗ № 81-ПУ ОТ 24.09.2021Г. «О СОСТАВЕ КОМИССИИ ПО СОБЛЮДЕНИЮ ТРЕБОВАНИЙ К СЛУЖЕБНОМУ ПОВЕДЕНИЮ ГОСУДАРСТВЕННЫХ ГРАЖДАНСКИХ СЛУЖАЩИХ УПРАВЫ РАЙОНА МАТУШКИНО ГОР. МОСКВЫ И УРЕГУЛИРОВАНИЮ КОНФЛИКТА ИНТЕРЕСОВ»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http://matushkino.mos.ru/anti-corruption/the-commission-for-observance-of-requirements-for-the-official-behaviour-of-state-civil-employees-of/detail/10437824.html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2024-12-02T20:28:22Z</dcterms:created>
  <dcterms:modified xsi:type="dcterms:W3CDTF">2024-12-02T20:28:22Z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