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9f7485ab8244ffd6f418ce6eaecb31ada581"/>
    <w:p>
      <w:pPr>
        <w:pStyle w:val="Heading3"/>
      </w:pPr>
      <w:r>
        <w:t xml:space="preserve">В Москве обсудили вопросы противодействия деятельности диверсионно-разведывательных формирований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14 марта 2023 года под председательством руководителя Федерального оперативного штаба, директора ФСБ России А.В. Бортникова в режиме видеоконференции прошло заседание Федерального оперативного штаба.</w:t>
      </w:r>
    </w:p>
    <w:p>
      <w:pPr>
        <w:pStyle w:val="BodyText"/>
      </w:pPr>
      <w:r>
        <w:t xml:space="preserve">В нем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комитета.</w:t>
      </w:r>
    </w:p>
    <w:p>
      <w:pPr>
        <w:pStyle w:val="BodyText"/>
      </w:pPr>
      <w:r>
        <w:t xml:space="preserve">Как сообщил сайт НАК, на заседании выработаны меры по повышению эффективности взаимодействия федеральных органов исполнительной власти и их территориальных органов при противодействии террористической деятельности диверсионно-разведывательных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http://matushkino.mos.ru/presscenter/news/detail/11497399.html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97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97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2024-07-29T18:15:50Z</dcterms:created>
  <dcterms:modified xsi:type="dcterms:W3CDTF">2024-07-29T18:15:50Z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