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10e3803174c5ef72b7f3753ea32c85303e8100"/>
    <w:p>
      <w:pPr>
        <w:pStyle w:val="Heading3"/>
      </w:pPr>
      <w:r>
        <w:t xml:space="preserve">Строение «Мосэнерго» в 4 микрорайоне разрисуют молодые художники</w:t>
      </w:r>
    </w:p>
    <w:p>
      <w:pPr>
        <w:pStyle w:val="FirstParagraph"/>
      </w:pPr>
      <w:r>
        <w:t xml:space="preserve">03.07.2023</w:t>
      </w:r>
    </w:p>
    <w:p>
      <w:pPr>
        <w:pStyle w:val="BodyText"/>
      </w:pPr>
      <w:r>
        <w:t xml:space="preserve">03.07.2023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/medialibrary/7c1/rvxi88aqd5leye3tiqrzz1tlf4p0aqc9/Stroenie-_Mosenergo_-v-4-mikrorayone-razrisuyut-molodye-khudozhnik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Строение «Мосэнерго», расположенное между корпусами 433 и 455, разрисуют молодые художники – участники городского конкурса граффити «Стены». На портале «Активный гражданин» идет</w:t>
      </w:r>
      <w:r>
        <w:t xml:space="preserve"> </w:t>
      </w:r>
      <w:hyperlink r:id="rId23">
        <w:r>
          <w:rPr>
            <w:rStyle w:val="Hyperlink"/>
          </w:rPr>
          <w:t xml:space="preserve">голосование</w:t>
        </w:r>
      </w:hyperlink>
      <w:r>
        <w:t xml:space="preserve"> </w:t>
      </w:r>
      <w:r>
        <w:t xml:space="preserve">за варианты рисунков.</w:t>
      </w:r>
    </w:p>
    <w:p>
      <w:pPr>
        <w:pStyle w:val="BodyText"/>
      </w:pPr>
      <w:r>
        <w:t xml:space="preserve">Предлагается три варианта в стиле граффити. Это зимний пейзаж, летний с ромашками и море на закате. Проголосовать за рисунок могут все желающие, зарегистрированные на портале. Это общегородской опрос – предлагают выбрать рисунки на нежилых строениях в разных округах Москвы.</w:t>
      </w:r>
    </w:p>
    <w:p>
      <w:pPr>
        <w:pStyle w:val="BodyText"/>
      </w:pPr>
      <w:r>
        <w:t xml:space="preserve">Молодежный открытый конкурс граффити «Стены» проходит в Москве впервые. Его участниками стали москвичи от 14 до 35 лет: студенты художественных направлений вузов столицы, представители сообщества граффитистов Москвы, ученики и специалисты частных школ граффити города. Каждый участник выбрал округ и объект на интерактивной карте, а затем разработал макет изображения. На первом этапе конкурса эксперты выбрали 33 лучшие работы — по три для каждого строения.</w:t>
      </w:r>
    </w:p>
    <w:p>
      <w:pPr>
        <w:pStyle w:val="BodyText"/>
      </w:pPr>
      <w:r>
        <w:rPr>
          <w:bCs/>
          <w:b/>
        </w:rPr>
        <w:t xml:space="preserve">Фото cms.ag.mos.ru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http://matushkino.mos.ru/presscenter/news/detail/11690787.html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11690787.html" TargetMode="External" /><Relationship Type="http://schemas.openxmlformats.org/officeDocument/2006/relationships/hyperlink" Id="rId23" Target="https://ag.mos.ru/poll/150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11690787.html" TargetMode="External" /><Relationship Type="http://schemas.openxmlformats.org/officeDocument/2006/relationships/hyperlink" Id="rId23" Target="https://ag.mos.ru/poll/150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2025-08-05T21:29:55Z</dcterms:created>
  <dcterms:modified xsi:type="dcterms:W3CDTF">2025-08-05T21:29:55Z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