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e4ebe5c64c62fb464c48cbcc5f9c563782fa6a"/>
    <w:p>
      <w:pPr>
        <w:pStyle w:val="Heading3"/>
      </w:pPr>
      <w:r>
        <w:t xml:space="preserve">Выручка резидентов ОЭЗ «Технополис Москва» выросла в 7,5 раз</w:t>
      </w:r>
    </w:p>
    <w:p>
      <w:pPr>
        <w:pStyle w:val="FirstParagraph"/>
      </w:pPr>
      <w:r>
        <w:t xml:space="preserve">22.09.2024</w:t>
      </w:r>
    </w:p>
    <w:p>
      <w:pPr>
        <w:pStyle w:val="BodyText"/>
      </w:pPr>
      <w:r>
        <w:rPr>
          <w:bCs/>
          <w:b/>
        </w:rPr>
        <w:t xml:space="preserve">22.09.2024</w:t>
      </w:r>
    </w:p>
    <w:p>
      <w:pPr>
        <w:pStyle w:val="BodyText"/>
      </w:pPr>
      <w:r>
        <w:t xml:space="preserve">Резиденты ОЭЗ «Технополис Москва» за первое полугодие 2024 года реализовали высокотехнологичную продукцию почти на 73 миллиарда рублей. Это рекордный показатель за последние пять лет – в аналогичном периоде 2020 года он составлял 9,5 миллиарда рублей. Наибольший объем продаж – около 28 миллиардов рублей – приходится на предприятия медицинской промышленности. Об этом сообщил заместитель Мэра Москвы по вопросам транспорта и промышленности Максим Ликсутов.</w:t>
      </w:r>
    </w:p>
    <w:p>
      <w:pPr>
        <w:pStyle w:val="BodyText"/>
      </w:pPr>
      <w:r>
        <w:t xml:space="preserve">– В ОЭЗ Москвы активно развиваются несколько высокотехнологичных отраслей, в том числе микроэлектроника и фотоника, медицинские технологии и фармацевтика, электромобилестроение, биомедицинские системы и нанотехнологии. По поручению Мэра Москвы Сергея Собянина город оказывает значительную поддержку данным направлениям. Так, за последние пять лет оборот предприятий медицинской промышленности ОЭЗ столицы увеличился почти в 48 раз – с 570 миллионов рублей до 28 миллиардов рублей. Такие результаты были достигнуты во втором квартале 2024 года. Взрывному росту способствовало расширение сектора за счет новых участников (в 2020 году в нем было 10 резидентов, а в 2024 – уже 26), а также программа импортозамещения продукции и офсетные контракты с городом, которых сегодня насчитывается 8, – отметил Максим Ликсутов.</w:t>
      </w:r>
    </w:p>
    <w:p>
      <w:pPr>
        <w:pStyle w:val="BodyText"/>
      </w:pPr>
      <w:r>
        <w:t xml:space="preserve">Еще одной стратегически важной отраслью для импортозамещения являются информационно-коммуникационные технологии, которые в особой экономической зоне «Технополис Москва» развивают 14 компаний-резидентов. Эти предприятия также занимают ведущие позиции по объему выручки. Они разрабатывают и производят программное обеспечение, включая решения в области кибербезопасности, телекоммуникационное оборудование, а также создают и поддерживают IT-инфраструктуру для хранения и обработки данных. Во втором квартале 2024 года оборот этих компаний составил 10,6 млрд рублей, что в 1,3 раза больше по сравнению с аналогичным периодом прошлого года и почти в четыре раза превышает показатель 2020 года.</w:t>
      </w:r>
    </w:p>
    <w:p>
      <w:pPr>
        <w:pStyle w:val="BodyText"/>
      </w:pPr>
      <w:r>
        <w:t xml:space="preserve">– Во втором квартале 2024 года выручка резидентов достигла 73 млрд рублей. Это максимальный показатель за последние пять лет. К примеру, за аналогичный период 2020 года оборот компаний превысил 9,5 млрд рублей, а в 2023 году – 43,7 млрд рублей. Традиционно высокие показатели по выручке продемонстрировали предприятия микроэлектроники – в 2024 году они смогли ее нарастить в 1,7 раз – до 25,2 млрд рублей по сравнению с предыдущим периодом. С 2020 года наибольший объем реализованной продукции – 5,4 миллиарда рублей – приходится на фармацевтическую компанию, с которой город заключил первый офсетный контракт, – сообщил Министр Правительства Москвы, руководитель Департамента инвестиционной и промышленной политики Анатолий Гарбузов.</w:t>
      </w:r>
    </w:p>
    <w:p>
      <w:pPr>
        <w:pStyle w:val="BodyText"/>
      </w:pPr>
      <w:r>
        <w:t xml:space="preserve">Рост выручки предприятий микроэлектронной отрасли обусловлен активным замещением зарубежного ПО и телекоммуникационных устройств отечественными продуктами, а также ростом уровня цифровизации российской экономики, включая государственный сектор.</w:t>
      </w:r>
    </w:p>
    <w:p>
      <w:pPr>
        <w:pStyle w:val="BodyText"/>
      </w:pPr>
      <w:r>
        <w:t xml:space="preserve">– Самый высокий результат – 5,3 млрд рублей приходится на одного из ведущих чипмейкеров российского рынка, который сначала года открыл две новые крупные производственные линии. За время деятельности в ОЭЗ Москвы это предприятие нарастило объемы продаж почти до 65 млрд рублей. Выручка является одним из индикаторов финансового здоровья предприятия, демонстрирующий его долю на рынке. Рост этого показателя говорит об эффективности мер поддержки отрасли микроэлектроники и успешности процесса импортозамещения, который позволяет отечественным производителям наращивать свой портфель заказов, – отметил генеральный директор ОЭЗ «Технополис Москва» Геннадий Дёгтев.</w:t>
      </w:r>
    </w:p>
    <w:p>
      <w:pPr>
        <w:pStyle w:val="BodyText"/>
      </w:pPr>
      <w:r>
        <w:rPr>
          <w:bCs/>
          <w:b/>
        </w:rPr>
        <w:t xml:space="preserve">Фото ОЭЗ «Технополис Москва»</w:t>
      </w:r>
    </w:p>
    <w:p>
      <w:pPr>
        <w:pStyle w:val="BodyText"/>
      </w:pPr>
      <w:r>
        <w:br/>
      </w:r>
    </w:p>
    <w:p>
      <w:pPr>
        <w:pStyle w:val="BodyText"/>
      </w:pPr>
      <w:r>
        <w:t xml:space="preserve">Адрес страницы:</w:t>
      </w:r>
      <w:r>
        <w:t xml:space="preserve"> </w:t>
      </w:r>
      <w:hyperlink r:id="rId20">
        <w:r>
          <w:rPr>
            <w:rStyle w:val="Hyperlink"/>
          </w:rPr>
          <w:t xml:space="preserve">http://matushkino.mos.ru/presscenter/news/detail/12575766.html</w:t>
        </w:r>
      </w:hyperlink>
    </w:p>
    <w:p>
      <w:pPr>
        <w:pStyle w:val="BodyText"/>
      </w:pPr>
      <w:hyperlink r:id="rId21">
        <w:r>
          <w:rPr>
            <w:rStyle w:val="Hyperlink"/>
          </w:rPr>
          <w:t xml:space="preserve">Управа района Матушкино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tushkino.mos.ru" TargetMode="External" /><Relationship Type="http://schemas.openxmlformats.org/officeDocument/2006/relationships/hyperlink" Id="rId20" Target="http://matushkino.mos.ru/presscenter/news/detail/125757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tushkino.mos.ru" TargetMode="External" /><Relationship Type="http://schemas.openxmlformats.org/officeDocument/2006/relationships/hyperlink" Id="rId20" Target="http://matushkino.mos.ru/presscenter/news/detail/125757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2024-12-12T16:49:42Z</dcterms:created>
  <dcterms:modified xsi:type="dcterms:W3CDTF">2024-12-12T16:49:42Z</dcterms:modified>
</cp:coreProperties>
</file>

<file path=docProps/custom.xml><?xml version="1.0" encoding="utf-8"?>
<Properties xmlns="http://schemas.openxmlformats.org/officeDocument/2006/custom-properties" xmlns:vt="http://schemas.openxmlformats.org/officeDocument/2006/docPropsVTypes"/>
</file>