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07555a8599abe9eca41a8e0f3556da90c814a3"/>
    <w:p>
      <w:pPr>
        <w:pStyle w:val="Heading3"/>
      </w:pPr>
      <w:r>
        <w:t xml:space="preserve">8 октября ИФНС России № 35 по г. Москве приглашает принять участие в бесплатном вебинаре</w:t>
      </w:r>
    </w:p>
    <w:p>
      <w:pPr>
        <w:pStyle w:val="FirstParagraph"/>
      </w:pPr>
      <w:r>
        <w:t xml:space="preserve">03.10.2024</w:t>
      </w:r>
    </w:p>
    <w:p>
      <w:pPr>
        <w:pStyle w:val="BodyText"/>
      </w:pPr>
      <w:r>
        <w:rPr>
          <w:bCs/>
          <w:b/>
        </w:rPr>
        <w:t xml:space="preserve">03.10.2024</w:t>
      </w:r>
    </w:p>
    <w:p>
      <w:pPr>
        <w:pStyle w:val="BodyText"/>
      </w:pPr>
      <w:r>
        <w:t xml:space="preserve">Масштабированный обмен электронными счетамифактурами. Преимущества перехода на обмен электронными счетами-фактурами.</w:t>
      </w:r>
    </w:p>
    <w:p>
      <w:pPr>
        <w:pStyle w:val="BodyText"/>
      </w:pPr>
      <w:r>
        <w:t xml:space="preserve">Уважаемые налогоплательщики!</w:t>
      </w:r>
    </w:p>
    <w:p>
      <w:pPr>
        <w:pStyle w:val="BodyText"/>
      </w:pPr>
      <w:r>
        <w:t xml:space="preserve">ИФНС России № 35 по г. Москве приглашает принять участие в бесплатном вебинаре, который состоится 08.10.2024 в 12:00 часов.</w:t>
      </w:r>
    </w:p>
    <w:p>
      <w:pPr>
        <w:pStyle w:val="BodyText"/>
      </w:pPr>
      <w:r>
        <w:t xml:space="preserve">На мероприятии выступит:</w:t>
      </w:r>
    </w:p>
    <w:p>
      <w:pPr>
        <w:pStyle w:val="BodyText"/>
      </w:pPr>
      <w:r>
        <w:t xml:space="preserve">Вашланова Анна Ильнуровна – заместитель начальника отдела камеральных проверок № 3</w:t>
      </w:r>
    </w:p>
    <w:p>
      <w:pPr>
        <w:pStyle w:val="BodyText"/>
      </w:pPr>
      <w:r>
        <w:t xml:space="preserve">Актуальные вопросы при рассмотрении данной темы:</w:t>
      </w:r>
    </w:p>
    <w:p>
      <w:pPr>
        <w:pStyle w:val="BodyText"/>
      </w:pPr>
      <w:r>
        <w:t xml:space="preserve">1. В каких случаях выставляется электронный счет-фактура</w:t>
      </w:r>
    </w:p>
    <w:p>
      <w:pPr>
        <w:pStyle w:val="BodyText"/>
      </w:pPr>
      <w:r>
        <w:t xml:space="preserve">2. Формат электронного счета-фактуры</w:t>
      </w:r>
    </w:p>
    <w:p>
      <w:pPr>
        <w:pStyle w:val="BodyText"/>
      </w:pPr>
      <w:r>
        <w:t xml:space="preserve">3. Как выставить электронный счет-фактуру</w:t>
      </w:r>
    </w:p>
    <w:p>
      <w:pPr>
        <w:pStyle w:val="BodyText"/>
      </w:pPr>
      <w:r>
        <w:t xml:space="preserve">4. Как получить электронный счет-фактуру Для участия в вебинаре необходимо перейти по ссылке:</w:t>
      </w:r>
      <w:r>
        <w:t xml:space="preserve"> </w:t>
      </w:r>
      <w:hyperlink r:id="rId20">
        <w:r>
          <w:rPr>
            <w:rStyle w:val="Hyperlink"/>
          </w:rPr>
          <w:t xml:space="preserve">https://vksnp4.nalog.ru/conference/masshtabirovannyj-obmen-elektronnymischetami-fak?token=a4fd06ec-88f7-4159-a67e-7adf3127c58c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http://matushkino.mos.ru/presscenter/news/detail/12595980.html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595980.html" TargetMode="External" /><Relationship Type="http://schemas.openxmlformats.org/officeDocument/2006/relationships/hyperlink" Id="rId20" Target="https://vksnp4.nalog.ru/conference/masshtabirovannyj-obmen-elektronnymischetami-fak?token=a4fd06ec-88f7-4159-a67e-7adf3127c58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595980.html" TargetMode="External" /><Relationship Type="http://schemas.openxmlformats.org/officeDocument/2006/relationships/hyperlink" Id="rId20" Target="https://vksnp4.nalog.ru/conference/masshtabirovannyj-obmen-elektronnymischetami-fak?token=a4fd06ec-88f7-4159-a67e-7adf3127c58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2025-02-19T22:43:55Z</dcterms:created>
  <dcterms:modified xsi:type="dcterms:W3CDTF">2025-02-19T22:43:55Z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