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0f4ca955b2e5c1d5ace6ce5dcfa4046de1d87"/>
    <w:p>
      <w:pPr>
        <w:pStyle w:val="Heading3"/>
      </w:pPr>
      <w:r>
        <w:t xml:space="preserve">В 7,5 раз стала больше выручка резидентов ОЭЗ «Технополис Москва»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rPr>
          <w:bCs/>
          <w:b/>
        </w:rPr>
        <w:t xml:space="preserve">08.10.2024</w:t>
      </w:r>
    </w:p>
    <w:p>
      <w:pPr>
        <w:pStyle w:val="BodyText"/>
      </w:pPr>
      <w:r>
        <w:t xml:space="preserve">По сообщению заместителя мэра Москвы по вопросам транспорта и промышленности Максима Ликсутова, резиденты ОЭЗ «Технополис Москва» за I полугодие текущего года реализовали высокотехнологичную продукцию примерно на 73 млрд рублей.</w:t>
      </w:r>
    </w:p>
    <w:p>
      <w:pPr>
        <w:pStyle w:val="BodyText"/>
      </w:pPr>
      <w:r>
        <w:t xml:space="preserve">Это можно считать рекордным показателем за последние 5 лет – в таком же периоде 2020 г. он составлял 9,5 млрд рублей. Самый внушительный объем продаж – порядка 28 млрд рублей – приходится на предприятия медицинской промышленности.</w:t>
      </w:r>
    </w:p>
    <w:p>
      <w:pPr>
        <w:pStyle w:val="BodyText"/>
      </w:pPr>
      <w:r>
        <w:t xml:space="preserve">Как пояснил Максим Ликсутов, в ОЭЗ Москвы энергичное развитие ряда высокотехнологичных отраслей происходит. Говорится о микроэлектронике и фотонике, медтехнологиях, фармацевтике, электромобилестроении, биомедицинских системах и нанотехнологии. По поручению мэра столицы Сергея Собянина город оказывает значительную поддержку этим направлениям.</w:t>
      </w:r>
    </w:p>
    <w:p>
      <w:pPr>
        <w:pStyle w:val="BodyText"/>
      </w:pPr>
      <w:r>
        <w:t xml:space="preserve">Еще одной стратегически важной отраслью для импортозамещения являются информационно-коммуникационные технологии, их в ОЭЗ «Технополис Москва» развивают 14 компаний-резидентов. Данные предприятия также занимают ведущие позиции по объему выручки. Они разрабатывают и производят ПО, включая решения в области кибербезопасности, телекоммуникационное оборудование, а еще создают и поддерживают IT-инфраструктуру для хранения и обработки данных. Во II квартале текущего года оборот этих компаний составил 10,6 млрд рублей, что в 1,3 раза больше по сравнению с таким же периодом того года и почти в 4 раза превышает показатель 2020 г.</w:t>
      </w:r>
    </w:p>
    <w:p>
      <w:pPr>
        <w:pStyle w:val="BodyText"/>
      </w:pPr>
      <w:r>
        <w:t xml:space="preserve">Как разъяснил министр Правительства Москвы, руководитель Департамента инвестиционной и промышленной политики Анатолий Гарбузов, во II квартале текущего года выручка резидентов достигла 73 млрд рублей. Это максимальный показатель за последние 5 лет. За такой же период 2020 г. оборот компаний превысил 9,5 млрд рублей, а в минувшем году – 43,7 млрд рублей. Традиционно высокие показатели по выручке показали предприятия микроэлектроники – в этом году они сумели ее нарастить в 1,7 раз – до 25,2 млрд рублей по сравнению с предыдущим периодом. С 2020 г. наибольший объем реализованной продукции – 5,4 млрд рублей – приходится на фармацевтическую компанию, с которой город заключил первый офсетный контракт.</w:t>
      </w:r>
    </w:p>
    <w:p>
      <w:pPr>
        <w:pStyle w:val="BodyText"/>
      </w:pPr>
      <w:r>
        <w:rPr>
          <w:bCs/>
          <w:b/>
        </w:rP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http://matushkino.mos.ru/presscenter/news/detail/12598860.html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98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98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2025-05-14T23:44:46Z</dcterms:created>
  <dcterms:modified xsi:type="dcterms:W3CDTF">2025-05-14T23:44:46Z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