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00b3a75faba6cfafe171a4bb5392fdabbbb7"/>
    <w:p>
      <w:pPr>
        <w:pStyle w:val="Heading3"/>
      </w:pPr>
      <w:r>
        <w:t xml:space="preserve">Исполнение обязанности по уплате налога иным лицом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rPr>
          <w:bCs/>
          <w:b/>
        </w:rPr>
        <w:t xml:space="preserve">06.11.2024</w:t>
      </w:r>
    </w:p>
    <w:p>
      <w:pPr>
        <w:pStyle w:val="BodyText"/>
      </w:pPr>
      <w:r>
        <w:t xml:space="preserve">Согласно статье 227.1 Налогового кодекса Российской Федерации плательщиками налога на доходы физических лиц от осуществления трудовой деятельности по найму в Российской Федерации на основании патента, выданного в соответствии с Федеральным законом от 25.06.2002 года № 115-ФЗ «О правовом положении иностранных граждан в Российской Федерации», являются иностранные граждане, осуществляющие трудовую деятельность:</w:t>
      </w:r>
    </w:p>
    <w:p>
      <w:pPr>
        <w:pStyle w:val="BodyText"/>
      </w:pPr>
      <w:r>
        <w:t xml:space="preserve">-по найму у физических лиц для личных, домашних и иных подобных нужд, не связанных с осуществлением предпринимательской деятельности;</w:t>
      </w:r>
    </w:p>
    <w:p>
      <w:pPr>
        <w:pStyle w:val="BodyText"/>
      </w:pPr>
      <w:r>
        <w:t xml:space="preserve">-по найму в организациях и (или) у индивидуальных предпринимателей, а также у занимающихся частной практикой нотариусов, адвокатов, учредивших адвокатские кабинеты, и других лиц, занимающихся в установленном законодательством Российской Федерации порядке частной практикой.</w:t>
      </w:r>
    </w:p>
    <w:p>
      <w:pPr>
        <w:pStyle w:val="BodyText"/>
      </w:pPr>
      <w:r>
        <w:t xml:space="preserve">В соответствии со статьей 45 Налогового кодекса Российской Федерации перечисление денежных средств в счет исполнения обязанности налогоплательщика по уплате налога, может быть произведено иным лицом.</w:t>
      </w:r>
    </w:p>
    <w:p>
      <w:pPr>
        <w:pStyle w:val="BodyText"/>
      </w:pPr>
      <w:r>
        <w:t xml:space="preserve">В целях обеспечения правильности учета налоговых платежей Минфином России разработаны Правила указания информации в реквизитах распоряжений о переводе денежных средств в уплату платежей в бюджетную систему РФ (далее-Правила), которые утверждены Приказом Минфина России от 12.11.2013 № 107н.</w:t>
      </w:r>
    </w:p>
    <w:p>
      <w:pPr>
        <w:pStyle w:val="BodyText"/>
      </w:pPr>
      <w:r>
        <w:t xml:space="preserve">В соответствии с пунктом 5.1 Правил в реквизите</w:t>
      </w:r>
      <w:r>
        <w:t xml:space="preserve"> </w:t>
      </w:r>
      <w:r>
        <w:rPr>
          <w:bCs/>
          <w:b/>
        </w:rPr>
        <w:t xml:space="preserve">ИНН плательщика</w:t>
      </w:r>
      <w:r>
        <w:t xml:space="preserve"> </w:t>
      </w:r>
      <w:r>
        <w:t xml:space="preserve">указывается значение ИНН,</w:t>
      </w:r>
      <w:r>
        <w:t xml:space="preserve"> </w:t>
      </w:r>
      <w:r>
        <w:rPr>
          <w:bCs/>
          <w:b/>
        </w:rPr>
        <w:t xml:space="preserve">чья обязанность</w:t>
      </w:r>
      <w:r>
        <w:t xml:space="preserve"> </w:t>
      </w:r>
      <w:r>
        <w:t xml:space="preserve">по уплате (перечислению) налогов, сборов, страховых взносов и иных платежей</w:t>
      </w:r>
      <w:r>
        <w:t xml:space="preserve"> </w:t>
      </w:r>
      <w:r>
        <w:rPr>
          <w:bCs/>
          <w:b/>
        </w:rPr>
        <w:t xml:space="preserve">исполняется</w:t>
      </w:r>
      <w:r>
        <w:t xml:space="preserve"> </w:t>
      </w:r>
      <w:r>
        <w:t xml:space="preserve">в соответствии с законодательством Российской Федерации о налогах и сборах с указанием КБК</w:t>
      </w:r>
      <w:r>
        <w:t xml:space="preserve"> </w:t>
      </w:r>
      <w:r>
        <w:rPr>
          <w:bCs/>
          <w:b/>
        </w:rPr>
        <w:t xml:space="preserve">18210102040011000110</w:t>
      </w:r>
      <w:r>
        <w:t xml:space="preserve"> </w:t>
      </w:r>
      <w:r>
        <w:t xml:space="preserve">(Налог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227.1Налогового кодекса Российской Федерации (сумма платежа (перерасчеты, недоимка и задолженность по соответствующему платежу, в том числе по отмененному).</w:t>
      </w:r>
    </w:p>
    <w:p>
      <w:pPr>
        <w:pStyle w:val="BodyText"/>
      </w:pPr>
      <w:r>
        <w:t xml:space="preserve">При поступлении в налоговый орган платежей, оформленных с нарушением порядка оформления расчетных документов, данные платежи относятся к разряду невыясненных документов, что приводит к негативным последствиям в части несвоевременного отражения платежа (в период проведения мероприятий по идентификации налогоплательщика) в обязательствах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http://matushkino.mos.ru/presscenter/news/detail/12647907.html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47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47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2025-07-19T19:29:49Z</dcterms:created>
  <dcterms:modified xsi:type="dcterms:W3CDTF">2025-07-19T19:29:49Z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