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становление-публичного-серветута"/>
    <w:p>
      <w:pPr>
        <w:pStyle w:val="Heading3"/>
      </w:pPr>
      <w:r>
        <w:t xml:space="preserve">Установление публичного серветута</w:t>
      </w:r>
    </w:p>
    <w:p>
      <w:pPr>
        <w:pStyle w:val="FirstParagraph"/>
      </w:pPr>
      <w:r>
        <w:t xml:space="preserve">26.11.2024</w:t>
      </w:r>
    </w:p>
    <w:p>
      <w:pPr>
        <w:pStyle w:val="BodyText"/>
      </w:pPr>
      <w:r>
        <w:rPr>
          <w:bCs/>
          <w:b/>
        </w:rPr>
        <w:t xml:space="preserve">26.11.2024</w:t>
      </w:r>
    </w:p>
    <w:p>
      <w:pPr>
        <w:pStyle w:val="BodyText"/>
      </w:pPr>
      <w:r>
        <w:t xml:space="preserve">Распоряжения Департамента городского имущества города Москвы об установлении публичного серветута на земельные участки.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http://matushkino.mos.ru/presscenter/news/detail/12685453.html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685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2685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2024-12-08T15:22:51Z</dcterms:created>
  <dcterms:modified xsi:type="dcterms:W3CDTF">2024-12-08T15:22:51Z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