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561592f6febbbd76e8980890ed95545ae1d0"/>
    <w:p>
      <w:pPr>
        <w:pStyle w:val="Heading3"/>
      </w:pPr>
      <w:r>
        <w:t xml:space="preserve">Выручка резидентов ОЭЗ «Технополис Москва» увеличилась на 36%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rPr>
          <w:bCs/>
          <w:b/>
        </w:rPr>
        <w:t xml:space="preserve">28.12.2024</w:t>
      </w:r>
    </w:p>
    <w:p>
      <w:pPr>
        <w:pStyle w:val="BodyText"/>
      </w:pPr>
      <w:r>
        <w:t xml:space="preserve">Резиденты особой экономической зоны «Технополис Москва» в период с января по сентябрь 2024 года реализовали высокотехнологичную продукцию и услуги на сумму свыше 104 миллиардов рублей. Это на 36% превышает показатели аналогичного периода 2023 года. Об этом сообщил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t xml:space="preserve">– Развитие высоких технологий в городе – одна из главных задач, которую поставил Мэр Москвы Сергей Собянин. Особая экономическая зона «Технополис Москва» – флагманская площадка для размещения таких производств. За счет значительных налоговых льгот для резидентов ОЭЗ предприятия увеличивают объемы выпускаемой продукции и наращивают мощности. Если в январе-сентябре 2020 года они реализовали продукцию на сумму 17,5 миллиарда рублей, то сегодня этот объем вырос более чем в шесть раз и превысил 100 миллиардов рублей. Лидерами являются предприятия микроэлектроники, их выручка составила 39 миллиардов рублей, – рассказал Максим Ликсутов.</w:t>
      </w:r>
    </w:p>
    <w:p>
      <w:pPr>
        <w:pStyle w:val="BodyText"/>
      </w:pPr>
      <w:r>
        <w:t xml:space="preserve">Рост выручки предприятий микроэлектронной отрасли обусловлен активным замещением зарубежного программного обеспечения и телекоммуникационных устройств отечественным оборудованием московского производства.</w:t>
      </w:r>
    </w:p>
    <w:p>
      <w:pPr>
        <w:pStyle w:val="BodyText"/>
      </w:pPr>
      <w:r>
        <w:t xml:space="preserve">– Столичные производители микроэлектроники и фотоники занимают лидирующие позиции в России. Более 40 предприятий отрасли разместились на зеленоградских площадках ОЭЗ «Технополис Москва». Благодаря преференциальному режиму столичной особой экономической зоны, резиденты инвестируют в расширение своих производств, приобретение нового оборудования, научно-технические разработки и многое другое. С момента начала деятельности ОЭЗ «Технополис Москва» компании-резиденты реализовали инновационные продукты и услуги на сумму 440 миллиардов рублей, – отметил Министр Правительства Москвы, руководитель Департамента инвестиционной и промышленной политики Анатолий Гарбузов.</w:t>
      </w:r>
    </w:p>
    <w:p>
      <w:pPr>
        <w:pStyle w:val="BodyText"/>
      </w:pPr>
      <w:r>
        <w:t xml:space="preserve">Еще одной стратегически важной отраслью является производство медицинских изделий, оборудования и фармацевтической продукции.</w:t>
      </w:r>
    </w:p>
    <w:p>
      <w:pPr>
        <w:pStyle w:val="BodyText"/>
      </w:pPr>
      <w:r>
        <w:t xml:space="preserve">– Общий объем оборота компаний мединдустрии превысил 36,6 миллиарда рублей. Положительная динамика в производстве критически важной для страны высокотехнологичной продукции обусловлена особым статусом резидента ОЭЗ «Технополис Москва», – сказал генеральный директор ОЭЗ «Технополис Москва» Геннадий Дёгтев.</w:t>
      </w:r>
    </w:p>
    <w:p>
      <w:pPr>
        <w:pStyle w:val="BodyText"/>
      </w:pPr>
      <w:r>
        <w:rPr>
          <w:bCs/>
          <w:b/>
        </w:rP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http://matushkino.mos.ru/presscenter/news/detail/12748394.html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48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48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2025-05-09T09:57:03Z</dcterms:created>
  <dcterms:modified xsi:type="dcterms:W3CDTF">2025-05-09T09:57:03Z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