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249d85c701aba16448fadd9a047372f450728"/>
    <w:p>
      <w:pPr>
        <w:pStyle w:val="Heading3"/>
      </w:pPr>
      <w:r>
        <w:t xml:space="preserve">Подведены итоги развития площадки «Микрон» ОЭЗ «Технополис Москва»</w:t>
      </w:r>
    </w:p>
    <w:p>
      <w:pPr>
        <w:pStyle w:val="FirstParagraph"/>
      </w:pPr>
      <w:r>
        <w:t xml:space="preserve">25.01.2025</w:t>
      </w:r>
    </w:p>
    <w:p>
      <w:pPr>
        <w:pStyle w:val="BodyText"/>
      </w:pPr>
      <w:r>
        <w:rPr>
          <w:bCs/>
          <w:b/>
        </w:rPr>
        <w:t xml:space="preserve">25.01.2025</w:t>
      </w:r>
    </w:p>
    <w:p>
      <w:pPr>
        <w:pStyle w:val="BodyText"/>
      </w:pPr>
      <w:r>
        <w:t xml:space="preserve">17 производителей медтехники, аккумуляторов, беспилотников, микроэлектроники и другой высокотехнологичной продукции получили в прошлом году статус резидента ОЭЗ «Технополис Москва». Четыре из них – на площадке «Алабушево», и еще один – на площадке «Микрон» в Зеленограде.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материале на mos.ru, посвященном итогам развития Особой экономической зоны за 2024 год.</w:t>
      </w:r>
    </w:p>
    <w:p>
      <w:pPr>
        <w:pStyle w:val="BodyText"/>
      </w:pPr>
      <w:r>
        <w:t xml:space="preserve">На площадке «Микрон» резидентом стал производитель микроэлектроники. Объем инвестиций превысил 16 миллиардов рублей.</w:t>
      </w:r>
    </w:p>
    <w:p>
      <w:pPr>
        <w:pStyle w:val="BodyText"/>
      </w:pPr>
      <w:r>
        <w:t xml:space="preserve">Кроме этого, предприятие «Микрон» запустило две новые линии – сборки микросхем в пластиковых корпусах и чип-модулей. Это позволит компании выпускать более 40 различных изделий для применения в телекоммуникационном оборудовании, автоэлектронике, аппаратуре для интернета вещей и умного дома, счетчиках электроэнергии, автоматике, робототехнике, медицинской технике и измерительных приборах и вдвое увеличить производство чип-модулей для банковских карт «Мир». Завод также разработал, внедрил и протестировал</w:t>
      </w:r>
      <w:r>
        <w:t xml:space="preserve"> </w:t>
      </w:r>
      <w:hyperlink r:id="rId21">
        <w:r>
          <w:rPr>
            <w:rStyle w:val="Hyperlink"/>
          </w:rPr>
          <w:t xml:space="preserve">RFID-решение</w:t>
        </w:r>
      </w:hyperlink>
      <w:r>
        <w:t xml:space="preserve"> </w:t>
      </w:r>
      <w:r>
        <w:t xml:space="preserve">для мониторинга средств пожаротушения на промышленных предприятиях. Кроме того, совместно с другим резидентом – «Дизайн-центром «Союз» – предприятие создало образцы программируемой логической интегральной схемы, которую можно использовать в космической и специальной аппаратуре.</w:t>
      </w:r>
    </w:p>
    <w:p>
      <w:pPr>
        <w:pStyle w:val="BodyText"/>
      </w:pPr>
      <w:r>
        <w:t xml:space="preserve">Параллельно с разработкой и выпуском высокотехнологичной продукции, появлением новых резидентов расширяется и территория особой экономической зоны «Технополис Москва». Так, в 2024 году ввели в эксплуатацию первую очередь технопарка «Алабушево» и второй корпус инновационного центра площадки Национального исследовательского университета «Московский институт электронной техники». Здесь разместятся производства Зеленоградского инновационно-технологического центра, Зеленоградского нанотехнологического центра, а также другие предприятия и стартапы.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http://matushkino.mos.ru/presscenter/news/detail/12774736.html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74736.html" TargetMode="External" /><Relationship Type="http://schemas.openxmlformats.org/officeDocument/2006/relationships/hyperlink" Id="rId21" Target="https://www.mos.ru/news/item/147501073/" TargetMode="External" /><Relationship Type="http://schemas.openxmlformats.org/officeDocument/2006/relationships/hyperlink" Id="rId20" Target="https://www.mos.ru/news/item/1491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74736.html" TargetMode="External" /><Relationship Type="http://schemas.openxmlformats.org/officeDocument/2006/relationships/hyperlink" Id="rId21" Target="https://www.mos.ru/news/item/147501073/" TargetMode="External" /><Relationship Type="http://schemas.openxmlformats.org/officeDocument/2006/relationships/hyperlink" Id="rId20" Target="https://www.mos.ru/news/item/1491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2025-05-09T21:25:38Z</dcterms:created>
  <dcterms:modified xsi:type="dcterms:W3CDTF">2025-05-09T21:25:38Z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