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a894d83e304ea63620dfc498b0fde30565eda"/>
    <w:p>
      <w:pPr>
        <w:pStyle w:val="Heading3"/>
      </w:pPr>
      <w:r>
        <w:t xml:space="preserve">Как предоставляется льгота по налогу на имущество организаций юридическим лицам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28.01.2025</w:t>
      </w:r>
      <w:r>
        <w:br/>
      </w:r>
    </w:p>
    <w:p>
      <w:pPr>
        <w:pStyle w:val="BodyText"/>
      </w:pPr>
      <w:r>
        <w:t xml:space="preserve">В I квартале 2025 года налоговые органы проведут массовый расчет транспортного, земельного налогов и налога на имущество организаций (для объектов, налоговая база по которым определяется по кадастровой стоимости) за 2024 год. После расчета организациям направят сообщения об исчисленных налогах, которые затем отразятся на ЕНС.</w:t>
      </w:r>
    </w:p>
    <w:p>
      <w:pPr>
        <w:pStyle w:val="BodyText"/>
      </w:pPr>
      <w:r>
        <w:t xml:space="preserve">Российские организации, имеющие право на льготы по имущественным налогам юридических лиц, могут направить в налоговый орган заявление налогоплательщика о предоставлении налоговой льготы по формам КНД 1150121 (налог на имущество организаций), 1150064 (транспортный и земельный налоги).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то при наличии у налогового органа достаточных сведений, налоговая льгота будет предоставлена в проактивном (беззаявительном) порядке.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установлен, поэтому заявление о представлении налоговой льготы за налоговый период 2024 года организации целесообразно представить в течение I квартала 2025 года, что позволит налоговому органу безошибочно произвести расчет налогов.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http://matushkino.mos.ru/presscenter/news/detail/12781740.html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781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781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2025-01-28T18:16:18Z</dcterms:created>
  <dcterms:modified xsi:type="dcterms:W3CDTF">2025-01-28T18:16:18Z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