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504de677c3378e4bcc9059ade45dd8c3fa570"/>
    <w:p>
      <w:pPr>
        <w:pStyle w:val="Heading3"/>
      </w:pPr>
      <w:r>
        <w:t xml:space="preserve">Зеленоградская компания АО НИИТМ – лауреат премии «Лидеры электронного машиностроения – 2025»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bCs/>
          <w:b/>
        </w:rPr>
        <w:t xml:space="preserve">24.06.2025</w:t>
      </w:r>
    </w:p>
    <w:p>
      <w:pPr>
        <w:pStyle w:val="BodyText"/>
      </w:pPr>
      <w:r>
        <w:drawing>
          <wp:inline>
            <wp:extent cx="5334000" cy="65966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presscenter/Лауреат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6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10 по 11 июня 2025 года прошла II научно-техническая конференция Союзного государства «Электронное машиностроение – 2025», которая ставит перед собой задачи по организации взаимодействия российских и белорусских научных, образовательных, инновационных организаций, бизнеса и государства в области электронного машиностроения.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научно-технической конференции также состоялась церемония награждения лауреатов премии «Лидеры электронного машиностроения-2025».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«Лидер по поставкам» победу одержал Научно-исследовательский институт точного машиностроения (входит в ГК «Элемент»). НИИ точного машиностроения (НИИТМ) – разработчик и производитель линейки специального технологического оборудования для обработки полупроводниковых пластин, на которых создаются будущие чипы. Среди заказчиков зеленоградского предприятия – производители изделий микроэлектроники и научно-исследовательские центры.</w:t>
      </w:r>
    </w:p>
    <w:p>
      <w:pPr>
        <w:pStyle w:val="BodyText"/>
      </w:pPr>
      <w:r>
        <w:rPr>
          <w:bCs/>
          <w:b/>
        </w:rPr>
        <w:t xml:space="preserve">Фото предоставлено управой района Матушкино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http://matushkino.mos.ru/presscenter/news/detail/13055466.html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3055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3055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2025-08-06T06:31:23Z</dcterms:created>
  <dcterms:modified xsi:type="dcterms:W3CDTF">2025-08-06T06:31:23Z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