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b1590a93573f7bbc2b9cd7ecef7b230fdce1a7"/>
    <w:p>
      <w:pPr>
        <w:pStyle w:val="Heading3"/>
      </w:pPr>
      <w:r>
        <w:t xml:space="preserve">Способы накопления средств на капитальный ремонт (ВИДЕО)</w:t>
      </w:r>
    </w:p>
    <w:p>
      <w:pPr>
        <w:pStyle w:val="FirstParagraph"/>
      </w:pPr>
      <w:r>
        <w:t xml:space="preserve">06.07.2015</w:t>
      </w:r>
    </w:p>
    <w:p>
      <w:pPr>
        <w:pStyle w:val="BodyText"/>
      </w:pPr>
      <w:r>
        <w:t xml:space="preserve">До 1 июля 2015 года собственники московских квартир должны были принять решение о способе накопления средств на капитальный ремонт своих домов.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/resize_cache/iblock/ba6/140_110_2/uvarov_matushkin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http://matushkino.mos.ru/presscenter/news/detail/1984368.html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984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984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2025-02-26T22:18:29Z</dcterms:created>
  <dcterms:modified xsi:type="dcterms:W3CDTF">2025-02-26T22:18:29Z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