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a2e59d767886e840e73a9843eeeeaf341829ae"/>
    <w:p>
      <w:pPr>
        <w:pStyle w:val="Heading3"/>
      </w:pPr>
      <w:r>
        <w:t xml:space="preserve">13 февраля прошли собрания собственников помещений</w:t>
      </w:r>
    </w:p>
    <w:p>
      <w:pPr>
        <w:pStyle w:val="FirstParagraph"/>
      </w:pPr>
      <w:r>
        <w:t xml:space="preserve">14.02.2017</w:t>
      </w:r>
    </w:p>
    <w:p>
      <w:pPr>
        <w:pStyle w:val="BodyText"/>
      </w:pPr>
      <w:r>
        <w:drawing>
          <wp:inline>
            <wp:extent cx="1905000" cy="190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4104519/eaa4c0853c55214af75dd8794a52c802/iblock/7db/7db3b4a60eb22ef745146766bc1dd091/informacia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13 февраля 2017 года в актовом зале управы района Матушкино (корп. 128) состоялось собрание собственников помещений в форме очно-заочного голосования по вопросу капитального ремонта общедомового имущества корпусов 158, 161 и 162.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http://matushkino.mos.ru/presscenter/news/detail/4951577.html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49515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49515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2025-06-17T21:18:58Z</dcterms:created>
  <dcterms:modified xsi:type="dcterms:W3CDTF">2025-06-17T21:18:58Z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