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f93c7cc6a5bc779dbaaea199f13241941e0acd"/>
    <w:p>
      <w:pPr>
        <w:pStyle w:val="Heading3"/>
      </w:pPr>
      <w:r>
        <w:t xml:space="preserve">Подрядная организация приступила к ремонту подъездов в корпусе 164</w:t>
      </w:r>
    </w:p>
    <w:p>
      <w:pPr>
        <w:pStyle w:val="FirstParagraph"/>
      </w:pPr>
      <w:r>
        <w:t xml:space="preserve">02.03.2021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459487/eaa4c0853c55214af75dd8794a52c802/iblock/f9f/f9fecdfb199334c44ac19c0a2d6c971f/kapitalnyy_remont_dom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Несмотря на зимний период, в районе Матушкино продолжаются работы подрядных организаций по капитальному ремонту многоквартирных жилых домов в 1, 2 и 4 микрорайонах. Об этом в ходе оперативного совещания в префектуре округа рассказал глава управы района Матушкино Антон Гущин.</w:t>
      </w:r>
    </w:p>
    <w:p>
      <w:pPr>
        <w:pStyle w:val="BodyText"/>
      </w:pPr>
      <w:r>
        <w:t xml:space="preserve">Например, подрядная организация ООО «Эдельвейс» приступила к работам по ремонту подъездов в корпусе 164. Аналогичные работы проводит ГБУ «Жилищник ЗелАО» в корпусе 160 – в работе находятся 1-7 подъезды, и ООО «Альянс» в корпусах 200а и 200г. Кроме этого, ООО «Эдельвейс» приступила к замене лежаков холодного и горячего водоснабжения, а также подготовительным работам к ремонту подвалов.</w:t>
      </w:r>
    </w:p>
    <w:p>
      <w:pPr>
        <w:pStyle w:val="BodyText"/>
      </w:pPr>
      <w:r>
        <w:t xml:space="preserve">ООО «ПСК Континент» выполняет работы по гарантийным письмам в корпусах 401, 402, 406, 407, 435, 436, 438, 439.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http://matushkino.mos.ru/presscenter/news/detail/9753772.html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753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753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2025-07-01T09:16:13Z</dcterms:created>
  <dcterms:modified xsi:type="dcterms:W3CDTF">2025-07-01T09:16:13Z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