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2367c24718c68a22f8d720f6290ddb6ad7c0b6"/>
    <w:p>
      <w:pPr>
        <w:pStyle w:val="Heading3"/>
      </w:pPr>
      <w:r>
        <w:t xml:space="preserve">В Матушкино продолжается работа по выявлению БРТС</w:t>
      </w:r>
    </w:p>
    <w:p>
      <w:pPr>
        <w:pStyle w:val="FirstParagraph"/>
      </w:pPr>
      <w:r>
        <w:t xml:space="preserve">14.04.2021</w:t>
      </w:r>
    </w:p>
    <w:p>
      <w:pPr>
        <w:pStyle w:val="BodyText"/>
      </w:pPr>
      <w:r>
        <w:drawing>
          <wp:inline>
            <wp:extent cx="1428750" cy="1905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7559483/eaa4c0853c55214af75dd8794a52c802/iblock/75f/75f12b00989f48d46de373e427aba30a/896a0f99_255e_43cc_b6ba_d39d69f3f2d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Управа района Матушкино разыскивает автовладельца ТС, расположенного у д.1 по Березовой аллее, марки АУДИ, зеленого цвета, гос номер Х402УР50.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http://matushkino.mos.ru/presscenter/news/detail/9870001.html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98700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98700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2025-08-05T21:29:56Z</dcterms:created>
  <dcterms:modified xsi:type="dcterms:W3CDTF">2025-08-05T21:29:56Z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